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uto"/>
        <w:rPr>
          <w:rFonts w:ascii="Times New Roman" w:hAnsi="Times New Roman" w:eastAsia="方正小标宋简体" w:cs="Times New Roman"/>
          <w:color w:val="FF0000"/>
          <w:sz w:val="32"/>
          <w:szCs w:val="32"/>
        </w:rPr>
      </w:pPr>
    </w:p>
    <w:p>
      <w:pPr>
        <w:spacing w:line="180" w:lineRule="auto"/>
        <w:rPr>
          <w:rFonts w:ascii="Times New Roman" w:hAnsi="Times New Roman" w:eastAsia="方正小标宋简体" w:cs="Times New Roman"/>
          <w:color w:val="FF0000"/>
          <w:sz w:val="32"/>
          <w:szCs w:val="32"/>
        </w:rPr>
      </w:pPr>
    </w:p>
    <w:p>
      <w:pPr>
        <w:spacing w:line="180" w:lineRule="auto"/>
        <w:rPr>
          <w:rFonts w:ascii="Times New Roman" w:hAnsi="Times New Roman" w:eastAsia="方正小标宋简体" w:cs="Times New Roman"/>
          <w:color w:val="FF0000"/>
          <w:sz w:val="32"/>
          <w:szCs w:val="32"/>
        </w:rPr>
      </w:pPr>
    </w:p>
    <w:p>
      <w:pPr>
        <w:spacing w:line="180" w:lineRule="auto"/>
        <w:rPr>
          <w:rFonts w:ascii="Times New Roman" w:hAnsi="Times New Roman" w:eastAsia="方正小标宋简体" w:cs="Times New Roman"/>
          <w:color w:val="FF0000"/>
          <w:sz w:val="100"/>
          <w:szCs w:val="100"/>
        </w:rPr>
      </w:pPr>
      <w:r>
        <w:rPr>
          <w:rFonts w:ascii="Times New Roman" w:hAnsi="Times New Roman" w:eastAsia="方正小标宋简体" w:cs="Times New Roman"/>
          <w:color w:val="FF0000"/>
          <w:sz w:val="100"/>
          <w:szCs w:val="100"/>
        </w:rPr>
        <w:t xml:space="preserve">  </w:t>
      </w:r>
    </w:p>
    <w:p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320" w:firstLineChars="100"/>
        <w:jc w:val="center"/>
        <w:rPr>
          <w:rFonts w:ascii="Times New Roman" w:hAnsi="Times New Roman" w:eastAsia="方正小标宋简体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龙粮发〔20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" w:cs="Times New Roman"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号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</w:t>
      </w:r>
      <w:r>
        <w:rPr>
          <w:rFonts w:hint="eastAsia"/>
          <w:b/>
          <w:bCs/>
          <w:sz w:val="44"/>
          <w:szCs w:val="44"/>
          <w:lang w:eastAsia="zh-CN"/>
        </w:rPr>
        <w:t>印发《龙江县粮食局关于</w:t>
      </w:r>
      <w:r>
        <w:rPr>
          <w:rFonts w:hint="eastAsia"/>
          <w:b/>
          <w:bCs/>
          <w:sz w:val="44"/>
          <w:szCs w:val="44"/>
        </w:rPr>
        <w:t>粮食企业有序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开复</w:t>
      </w:r>
      <w:r>
        <w:rPr>
          <w:rFonts w:hint="eastAsia"/>
          <w:b/>
          <w:bCs/>
          <w:sz w:val="44"/>
          <w:szCs w:val="44"/>
          <w:lang w:eastAsia="zh-CN"/>
        </w:rPr>
        <w:t>工工作</w:t>
      </w:r>
      <w:r>
        <w:rPr>
          <w:rFonts w:hint="eastAsia"/>
          <w:b/>
          <w:bCs/>
          <w:sz w:val="44"/>
          <w:szCs w:val="44"/>
        </w:rPr>
        <w:t>方案</w:t>
      </w:r>
      <w:r>
        <w:rPr>
          <w:rFonts w:hint="eastAsia"/>
          <w:b/>
          <w:bCs/>
          <w:sz w:val="44"/>
          <w:szCs w:val="44"/>
          <w:lang w:eastAsia="zh-CN"/>
        </w:rPr>
        <w:t>》</w:t>
      </w:r>
      <w:r>
        <w:rPr>
          <w:rFonts w:hint="eastAsia"/>
          <w:b/>
          <w:bCs/>
          <w:sz w:val="44"/>
          <w:szCs w:val="44"/>
        </w:rPr>
        <w:t>的通知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各粮食企业：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根据县新型冠状病毒感染的肺炎疫情防控指挥部的要求，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积极引导农民适时销售手中余粮，确保不焐粮、不坏粮，降低因随着气温变暖粮食储存霉变的风险，加快农民手中余粮变现，确保疫情防控措施到位的前提下，粮食企业有序开工复产，开展粮食购销工作，现将《</w:t>
      </w:r>
      <w:r>
        <w:rPr>
          <w:rFonts w:hint="eastAsia" w:ascii="仿宋_GB2312" w:eastAsia="仿宋_GB2312"/>
          <w:sz w:val="32"/>
          <w:szCs w:val="32"/>
          <w:lang w:eastAsia="zh-CN"/>
        </w:rPr>
        <w:t>龙江县粮食局关于</w:t>
      </w:r>
      <w:r>
        <w:rPr>
          <w:rFonts w:hint="eastAsia" w:ascii="仿宋_GB2312" w:eastAsia="仿宋_GB2312"/>
          <w:sz w:val="32"/>
          <w:szCs w:val="32"/>
        </w:rPr>
        <w:t>粮食企业有序开复</w:t>
      </w:r>
      <w:r>
        <w:rPr>
          <w:rFonts w:hint="eastAsia" w:ascii="仿宋_GB2312" w:eastAsia="仿宋_GB2312"/>
          <w:sz w:val="32"/>
          <w:szCs w:val="32"/>
          <w:lang w:eastAsia="zh-CN"/>
        </w:rPr>
        <w:t>工工作</w:t>
      </w:r>
      <w:r>
        <w:rPr>
          <w:rFonts w:hint="eastAsia" w:ascii="仿宋_GB2312" w:eastAsia="仿宋_GB2312"/>
          <w:sz w:val="32"/>
          <w:szCs w:val="32"/>
        </w:rPr>
        <w:t>方案》印发给你们，请各粮食企业遵照执行。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</w:t>
      </w:r>
      <w:r>
        <w:rPr>
          <w:rFonts w:hint="eastAsia" w:ascii="仿宋_GB2312" w:eastAsia="仿宋_GB2312"/>
          <w:sz w:val="32"/>
          <w:szCs w:val="32"/>
          <w:lang w:eastAsia="zh-CN"/>
        </w:rPr>
        <w:t>龙江县粮食局关于</w:t>
      </w:r>
      <w:r>
        <w:rPr>
          <w:rFonts w:hint="eastAsia" w:ascii="仿宋_GB2312" w:eastAsia="仿宋_GB2312"/>
          <w:sz w:val="32"/>
          <w:szCs w:val="32"/>
        </w:rPr>
        <w:t>粮食企业有序开复</w:t>
      </w:r>
      <w:r>
        <w:rPr>
          <w:rFonts w:hint="eastAsia" w:ascii="仿宋_GB2312" w:eastAsia="仿宋_GB2312"/>
          <w:sz w:val="32"/>
          <w:szCs w:val="32"/>
          <w:lang w:eastAsia="zh-CN"/>
        </w:rPr>
        <w:t>工工作</w:t>
      </w:r>
      <w:r>
        <w:rPr>
          <w:rFonts w:hint="eastAsia" w:ascii="仿宋_GB2312" w:eastAsia="仿宋_GB2312"/>
          <w:sz w:val="32"/>
          <w:szCs w:val="32"/>
        </w:rPr>
        <w:t>方案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（此页无正文）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ind w:firstLine="5920" w:firstLineChars="1850"/>
        <w:rPr>
          <w:rFonts w:hint="eastAsia" w:ascii="仿宋_GB2312" w:eastAsia="仿宋_GB2312"/>
          <w:sz w:val="32"/>
          <w:szCs w:val="32"/>
        </w:rPr>
      </w:pPr>
    </w:p>
    <w:p>
      <w:pPr>
        <w:ind w:firstLine="5920" w:firstLineChars="1850"/>
        <w:rPr>
          <w:rFonts w:hint="eastAsia" w:ascii="仿宋_GB2312" w:eastAsia="仿宋_GB2312"/>
          <w:sz w:val="32"/>
          <w:szCs w:val="32"/>
        </w:rPr>
      </w:pPr>
    </w:p>
    <w:p>
      <w:pPr>
        <w:ind w:firstLine="5920" w:firstLineChars="1850"/>
        <w:rPr>
          <w:rFonts w:hint="eastAsia" w:ascii="仿宋_GB2312" w:eastAsia="仿宋_GB2312"/>
          <w:sz w:val="32"/>
          <w:szCs w:val="32"/>
        </w:rPr>
      </w:pPr>
    </w:p>
    <w:p>
      <w:pPr>
        <w:ind w:firstLine="5920" w:firstLineChars="1850"/>
        <w:rPr>
          <w:rFonts w:hint="eastAsia" w:ascii="仿宋_GB2312" w:eastAsia="仿宋_GB2312"/>
          <w:sz w:val="32"/>
          <w:szCs w:val="32"/>
        </w:rPr>
      </w:pPr>
    </w:p>
    <w:p>
      <w:pPr>
        <w:ind w:firstLine="5920" w:firstLineChars="1850"/>
        <w:rPr>
          <w:rFonts w:hint="eastAsia" w:ascii="仿宋_GB2312" w:eastAsia="仿宋_GB2312"/>
          <w:sz w:val="32"/>
          <w:szCs w:val="32"/>
        </w:rPr>
      </w:pPr>
    </w:p>
    <w:p>
      <w:pPr>
        <w:ind w:firstLine="5920" w:firstLineChars="1850"/>
        <w:rPr>
          <w:rFonts w:hint="eastAsia" w:ascii="仿宋_GB2312" w:eastAsia="仿宋_GB2312"/>
          <w:sz w:val="32"/>
          <w:szCs w:val="32"/>
        </w:rPr>
      </w:pPr>
    </w:p>
    <w:p>
      <w:pPr>
        <w:ind w:firstLine="5920" w:firstLineChars="1850"/>
        <w:rPr>
          <w:rFonts w:hint="eastAsia" w:ascii="仿宋_GB2312" w:eastAsia="仿宋_GB2312"/>
          <w:sz w:val="32"/>
          <w:szCs w:val="32"/>
        </w:rPr>
      </w:pPr>
    </w:p>
    <w:p>
      <w:pPr>
        <w:ind w:firstLine="5920" w:firstLineChars="1850"/>
        <w:rPr>
          <w:rFonts w:hint="eastAsia" w:ascii="仿宋_GB2312" w:eastAsia="仿宋_GB2312"/>
          <w:sz w:val="32"/>
          <w:szCs w:val="32"/>
        </w:rPr>
      </w:pPr>
    </w:p>
    <w:p>
      <w:pPr>
        <w:ind w:firstLine="5920" w:firstLineChars="1850"/>
        <w:rPr>
          <w:rFonts w:hint="eastAsia" w:ascii="仿宋_GB2312" w:eastAsia="仿宋_GB2312"/>
          <w:sz w:val="32"/>
          <w:szCs w:val="32"/>
        </w:rPr>
      </w:pPr>
    </w:p>
    <w:p>
      <w:pPr>
        <w:ind w:firstLine="5920" w:firstLineChars="1850"/>
        <w:rPr>
          <w:rFonts w:hint="eastAsia" w:ascii="仿宋_GB2312" w:eastAsia="仿宋_GB2312"/>
          <w:sz w:val="32"/>
          <w:szCs w:val="32"/>
        </w:rPr>
      </w:pPr>
    </w:p>
    <w:p>
      <w:pPr>
        <w:ind w:firstLine="5920" w:firstLineChars="1850"/>
        <w:rPr>
          <w:rFonts w:hint="eastAsia" w:ascii="仿宋_GB2312" w:eastAsia="仿宋_GB2312"/>
          <w:sz w:val="32"/>
          <w:szCs w:val="32"/>
        </w:rPr>
      </w:pPr>
    </w:p>
    <w:p>
      <w:pPr>
        <w:ind w:firstLine="5920" w:firstLineChars="1850"/>
        <w:rPr>
          <w:rFonts w:hint="eastAsia" w:ascii="仿宋_GB2312" w:eastAsia="仿宋_GB2312"/>
          <w:sz w:val="32"/>
          <w:szCs w:val="32"/>
        </w:rPr>
      </w:pPr>
    </w:p>
    <w:p>
      <w:pPr>
        <w:ind w:firstLine="5920" w:firstLineChars="1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龙江县粮食局</w:t>
      </w:r>
    </w:p>
    <w:p>
      <w:pPr>
        <w:ind w:firstLine="576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2020年2月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rPr>
          <w:rFonts w:hint="eastAsia" w:ascii="仿宋_GB2312" w:eastAsia="仿宋_GB2312"/>
          <w:bCs/>
          <w:sz w:val="32"/>
          <w:szCs w:val="32"/>
          <w:u w:val="none"/>
        </w:rPr>
      </w:pPr>
    </w:p>
    <w:p>
      <w:pPr>
        <w:spacing w:line="560" w:lineRule="exact"/>
        <w:rPr>
          <w:rFonts w:hint="eastAsia" w:ascii="仿宋_GB2312" w:eastAsia="仿宋_GB2312"/>
          <w:bCs/>
          <w:sz w:val="32"/>
          <w:szCs w:val="32"/>
          <w:u w:val="none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bCs/>
          <w:sz w:val="32"/>
          <w:szCs w:val="32"/>
          <w:u w:val="none"/>
        </w:rPr>
        <w:t>抄报县</w:t>
      </w:r>
      <w:r>
        <w:rPr>
          <w:rFonts w:hint="eastAsia" w:ascii="仿宋_GB2312" w:eastAsia="仿宋_GB2312"/>
          <w:sz w:val="32"/>
          <w:szCs w:val="32"/>
          <w:u w:val="none"/>
        </w:rPr>
        <w:t>新型冠状病毒感染的肺炎疫情防控指挥部</w:t>
      </w:r>
    </w:p>
    <w:p>
      <w:pPr>
        <w:widowControl/>
        <w:pBdr>
          <w:top w:val="single" w:color="auto" w:sz="4" w:space="0"/>
          <w:bottom w:val="single" w:color="auto" w:sz="4" w:space="0"/>
        </w:pBdr>
        <w:shd w:val="clear" w:color="auto" w:fill="FFFFFF"/>
        <w:spacing w:line="560" w:lineRule="exact"/>
        <w:jc w:val="left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</w:rPr>
        <w:t>龙江县粮食局</w:t>
      </w:r>
      <w:r>
        <w:rPr>
          <w:rFonts w:eastAsia="仿宋_GB2312"/>
          <w:sz w:val="28"/>
          <w:szCs w:val="28"/>
        </w:rPr>
        <w:t xml:space="preserve">                        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  <w:lang w:val="en-US" w:eastAsia="zh-CN"/>
        </w:rPr>
        <w:t>20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hint="eastAsia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20</w:t>
      </w:r>
      <w:r>
        <w:rPr>
          <w:rFonts w:hint="eastAsia" w:eastAsia="仿宋_GB2312"/>
          <w:sz w:val="28"/>
          <w:szCs w:val="28"/>
        </w:rPr>
        <w:t>日印发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      </w:t>
      </w:r>
    </w:p>
    <w:p>
      <w:pPr>
        <w:bidi w:val="0"/>
        <w:rPr>
          <w:rFonts w:hint="default" w:eastAsia="宋体" w:asciiTheme="minorHAnsi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widowControl/>
        <w:jc w:val="both"/>
        <w:rPr>
          <w:rFonts w:hint="eastAsia"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附件</w:t>
      </w:r>
    </w:p>
    <w:p>
      <w:pPr>
        <w:widowControl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龙江县粮食局关于</w:t>
      </w:r>
      <w:r>
        <w:rPr>
          <w:rFonts w:hint="eastAsia" w:ascii="宋体" w:hAnsi="宋体"/>
          <w:b/>
          <w:sz w:val="44"/>
          <w:szCs w:val="44"/>
        </w:rPr>
        <w:t>粮食企业有序</w:t>
      </w:r>
    </w:p>
    <w:p>
      <w:pPr>
        <w:widowControl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开复</w:t>
      </w:r>
      <w:r>
        <w:rPr>
          <w:rFonts w:hint="eastAsia" w:ascii="宋体" w:hAnsi="宋体"/>
          <w:b/>
          <w:sz w:val="44"/>
          <w:szCs w:val="44"/>
          <w:lang w:eastAsia="zh-CN"/>
        </w:rPr>
        <w:t>工工作</w:t>
      </w:r>
      <w:r>
        <w:rPr>
          <w:rFonts w:hint="eastAsia" w:ascii="宋体" w:hAnsi="宋体"/>
          <w:b/>
          <w:sz w:val="44"/>
          <w:szCs w:val="44"/>
        </w:rPr>
        <w:t>方案</w:t>
      </w:r>
    </w:p>
    <w:p>
      <w:pPr>
        <w:widowControl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为切实加强新型冠状病毒感染的肺炎疫情防控工作，坚决有力隔断传染源、切断风险源，按照有序开复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的原则，确保粮食企业在疫情防控期间做好粮食购销工作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现制定方案如下：</w:t>
      </w:r>
    </w:p>
    <w:p>
      <w:pPr>
        <w:widowControl/>
        <w:ind w:firstLine="643" w:firstLineChars="20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一、企业开复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eastAsia="zh-CN"/>
        </w:rPr>
        <w:t>工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时间</w:t>
      </w:r>
    </w:p>
    <w:p>
      <w:pPr>
        <w:widowControl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县域内未开工粮食企业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按照县新型冠状病毒感染的肺炎疫情防控指挥部的公告，经乡（镇）人民政府初审，粮食局复审，报县新型冠状病毒感染的肺炎疫情防控指挥部审批后方可开复工。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 w:firstLineChars="199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  <w:t>二、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企业开复工前必须做到“七到位”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主体责任落实到位。企业必须具有合法经营执照和粮食收购许可手续及备案手续，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企业必须具备足够资金实力，</w:t>
      </w:r>
      <w:r>
        <w:rPr>
          <w:rFonts w:hint="eastAsia" w:ascii="仿宋" w:hAnsi="仿宋" w:eastAsia="仿宋" w:cs="仿宋"/>
          <w:sz w:val="32"/>
          <w:szCs w:val="32"/>
        </w:rPr>
        <w:t>不允许出现打白条或赊欠农民粮款行为。负责人主动扛起疫情防控“第一责任人”的主体责任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把疫情防控作为头等大事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做到守土有责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守土尽责。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防控方案制定到位。制定疫情防控方案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开复工</w:t>
      </w:r>
      <w:r>
        <w:rPr>
          <w:rFonts w:hint="eastAsia" w:ascii="仿宋" w:hAnsi="仿宋" w:eastAsia="仿宋" w:cs="仿宋"/>
          <w:sz w:val="32"/>
          <w:szCs w:val="32"/>
        </w:rPr>
        <w:t>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落实落细领导体系、责任分工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排查制度、日常管控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后勤保障、应急处置、安全生产等各项措施。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联防联控机制到位。落实企业主要负责人牵头的疫情防控工作专班和管控人员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各项职责落实专职人员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每天按时如实上报职工健康状况、疫情防控措施落实等情况。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企业员工排查到位。企业对有疫区回来的，有密切接触史的，有外出史的一律不允许上岗。就近聘用无上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述</w:t>
      </w:r>
      <w:r>
        <w:rPr>
          <w:rFonts w:hint="eastAsia" w:ascii="仿宋" w:hAnsi="仿宋" w:eastAsia="仿宋" w:cs="仿宋"/>
          <w:sz w:val="32"/>
          <w:szCs w:val="32"/>
        </w:rPr>
        <w:t>情况的员工上岗，上岗员工一人一档，详细造册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以便追溯。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防控物资准备到位。企业确保口罩、体温仪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消毒水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洗手液等疫情防控物资充足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并设立紧急隔离点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做到厂区各公共场所消毒防护到位。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</w:rPr>
        <w:t>思想教育宣传到位。引导教育员工及家属了解健康知识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掌握防护要点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加强自我防护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保持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正确佩</w:t>
      </w:r>
      <w:r>
        <w:rPr>
          <w:rFonts w:hint="eastAsia" w:ascii="仿宋" w:hAnsi="仿宋" w:eastAsia="仿宋" w:cs="仿宋"/>
          <w:sz w:val="32"/>
          <w:szCs w:val="32"/>
        </w:rPr>
        <w:t>戴口罩、勤洗手等卫生习惯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少出门、不集聚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科学参与疫情防控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不造谣、不信谣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不传谣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不随意在网上发布、传播未经证实的信息。不谎报、瞒报、漏报发烧、咳嗽、乏力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、腹泻</w:t>
      </w:r>
      <w:r>
        <w:rPr>
          <w:rFonts w:hint="eastAsia" w:ascii="仿宋" w:hAnsi="仿宋" w:eastAsia="仿宋" w:cs="仿宋"/>
          <w:sz w:val="32"/>
          <w:szCs w:val="32"/>
        </w:rPr>
        <w:t>等情况。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</w:rPr>
        <w:t>安全工作确认到位。做好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水电气、车间仓库、</w:t>
      </w:r>
      <w:r>
        <w:rPr>
          <w:rFonts w:hint="eastAsia" w:ascii="仿宋" w:hAnsi="仿宋" w:eastAsia="仿宋" w:cs="仿宋"/>
          <w:sz w:val="32"/>
          <w:szCs w:val="32"/>
        </w:rPr>
        <w:t>特种设备和作业环境的安全检查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</w:t>
      </w:r>
      <w:r>
        <w:rPr>
          <w:rFonts w:hint="eastAsia" w:ascii="仿宋" w:hAnsi="仿宋" w:eastAsia="仿宋" w:cs="仿宋"/>
          <w:sz w:val="32"/>
          <w:szCs w:val="32"/>
        </w:rPr>
        <w:t>火灾防控检查，确保无故障、无遗漏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防疫卫生和劳动防护到位。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  <w:t>三、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企业开复工后必须做到“六必须”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车辆人流必须强化管控。实施厂区封闭管理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员工不得外出，加强门岗值守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从严管控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所有人员车辆进出厂区都要全面消毒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外来人员及车辆不得入内。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企业员工在岗必须实时防护。全员全程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正确</w:t>
      </w:r>
      <w:r>
        <w:rPr>
          <w:rFonts w:hint="eastAsia" w:ascii="仿宋" w:hAnsi="仿宋" w:eastAsia="仿宋" w:cs="仿宋"/>
          <w:sz w:val="32"/>
          <w:szCs w:val="32"/>
        </w:rPr>
        <w:t>佩戴口罩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严格执行手卫生等措施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每天进行体温检测登记2次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必须</w:t>
      </w:r>
      <w:r>
        <w:rPr>
          <w:rFonts w:hint="eastAsia" w:ascii="仿宋" w:hAnsi="仿宋" w:eastAsia="仿宋" w:cs="仿宋"/>
          <w:sz w:val="32"/>
          <w:szCs w:val="32"/>
        </w:rPr>
        <w:t>全力压缩人员。企业确定管理者1人，其他工作人员和作业工人不得超6人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，专班、错时、错峰上下班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用餐住宿必须适度分散。员工实行分餐制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保持员工用餐间隔距离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餐后要进行消杀防疫。合理安排员工宿舍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减少人员流动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每天进行消毒通风。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企业厂区内必须做好消杀防疫。做好公共场所卫生防护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定时对生产车间、办公室、食堂、宿舍等重要场所及其设备、门把手、楼道、电梯、卫生间、地面等公共部位消杀防疫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每天不少于2次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并实时做好记录。设置丢弃口罩专用垃圾箱并进行专业处理。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</w:rPr>
        <w:t>企业发现疫情必须及时报告。对出现发热、乏力、干咳、腹泻等症状的人员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第一时间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进行隔离，</w:t>
      </w:r>
      <w:r>
        <w:rPr>
          <w:rFonts w:hint="eastAsia" w:ascii="仿宋" w:hAnsi="仿宋" w:eastAsia="仿宋" w:cs="仿宋"/>
          <w:sz w:val="32"/>
          <w:szCs w:val="32"/>
        </w:rPr>
        <w:t>向县疾控中心报告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，电话：</w:t>
      </w:r>
      <w:r>
        <w:rPr>
          <w:rFonts w:hint="eastAsia" w:ascii="仿宋" w:hAnsi="仿宋" w:eastAsia="仿宋" w:cs="仿宋"/>
          <w:sz w:val="32"/>
          <w:szCs w:val="32"/>
        </w:rPr>
        <w:t>(0452-5852885)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，同时</w:t>
      </w:r>
      <w:r>
        <w:rPr>
          <w:rFonts w:hint="eastAsia" w:ascii="仿宋" w:hAnsi="仿宋" w:eastAsia="仿宋" w:cs="仿宋"/>
          <w:sz w:val="32"/>
          <w:szCs w:val="32"/>
        </w:rPr>
        <w:t>到定点医疗机构就诊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并及时上报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县粮食局</w:t>
      </w:r>
      <w:r>
        <w:rPr>
          <w:rFonts w:hint="eastAsia" w:ascii="仿宋" w:hAnsi="仿宋" w:eastAsia="仿宋" w:cs="仿宋"/>
          <w:sz w:val="32"/>
          <w:szCs w:val="32"/>
        </w:rPr>
        <w:t>，企业立即停工排查。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未尽事宜按县新型冠状病毒感染的肺炎疫情防控工作指挥部的公告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执行。</w:t>
      </w: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四、企业加强与售粮人信息沟通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企业与</w:t>
      </w:r>
      <w:r>
        <w:rPr>
          <w:rFonts w:hint="eastAsia" w:ascii="仿宋_GB2312" w:eastAsia="仿宋_GB2312"/>
          <w:sz w:val="32"/>
          <w:szCs w:val="32"/>
          <w:lang w:eastAsia="zh-CN"/>
        </w:rPr>
        <w:t>售粮人</w:t>
      </w:r>
      <w:r>
        <w:rPr>
          <w:rFonts w:hint="eastAsia" w:ascii="仿宋_GB2312" w:eastAsia="仿宋_GB2312"/>
          <w:sz w:val="32"/>
          <w:szCs w:val="32"/>
        </w:rPr>
        <w:t>做好信息沟通，预约收粮，错峰收购，避免人员聚集、密切接触。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2、企业必须服从当地人民政府做好疫情防控工作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，加强信息沟通，以便当地政府统筹车辆运输和行走线路。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</w:rPr>
        <w:t>企业向</w:t>
      </w:r>
      <w:r>
        <w:rPr>
          <w:rFonts w:hint="eastAsia" w:ascii="仿宋_GB2312" w:eastAsia="仿宋_GB2312"/>
          <w:sz w:val="32"/>
          <w:szCs w:val="32"/>
          <w:lang w:eastAsia="zh-CN"/>
        </w:rPr>
        <w:t>售粮</w:t>
      </w:r>
      <w:r>
        <w:rPr>
          <w:rFonts w:hint="eastAsia" w:ascii="仿宋_GB2312" w:eastAsia="仿宋_GB2312"/>
          <w:sz w:val="32"/>
          <w:szCs w:val="32"/>
        </w:rPr>
        <w:t>人宣传县新型冠状病毒感染的肺炎疫情防控指挥部的公告要求，必须做好自我防护工作。</w:t>
      </w:r>
    </w:p>
    <w:p>
      <w:pPr>
        <w:widowControl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任何企业不允许给售粮农民打白条、不允许赊欠农民卖粮款。</w:t>
      </w: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五、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企业开复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eastAsia="zh-CN"/>
        </w:rPr>
        <w:t>工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后</w:t>
      </w:r>
      <w:r>
        <w:rPr>
          <w:rFonts w:hint="eastAsia" w:ascii="仿宋_GB2312" w:eastAsia="仿宋_GB2312"/>
          <w:b/>
          <w:bCs/>
          <w:sz w:val="32"/>
          <w:szCs w:val="32"/>
        </w:rPr>
        <w:t>安全生产要求</w:t>
      </w:r>
    </w:p>
    <w:p>
      <w:pPr>
        <w:pStyle w:val="4"/>
        <w:widowControl/>
        <w:shd w:val="clear" w:color="auto" w:fill="FFFFFF"/>
        <w:spacing w:beforeAutospacing="0" w:afterAutospacing="0"/>
        <w:ind w:firstLine="672" w:firstLineChars="200"/>
        <w:jc w:val="both"/>
        <w:rPr>
          <w:rFonts w:hint="eastAsia" w:ascii="仿宋_GB2312" w:hAnsi="宋体" w:eastAsia="仿宋_GB2312" w:cs="宋体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pacing w:val="8"/>
          <w:sz w:val="32"/>
          <w:szCs w:val="32"/>
          <w:shd w:val="clear" w:color="auto" w:fill="FFFFFF"/>
        </w:rPr>
        <w:t>1</w:t>
      </w:r>
      <w:r>
        <w:rPr>
          <w:rFonts w:hint="eastAsia" w:ascii="仿宋_GB2312" w:eastAsia="仿宋_GB2312" w:cs="宋体"/>
          <w:color w:val="333333"/>
          <w:spacing w:val="8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宋体"/>
          <w:color w:val="333333"/>
          <w:spacing w:val="8"/>
          <w:sz w:val="32"/>
          <w:szCs w:val="32"/>
          <w:shd w:val="clear" w:color="auto" w:fill="FFFFFF"/>
        </w:rPr>
        <w:t>企业必须按照国家、省安全生产的法律法规和各项规章制度执行，认真做好安全生产各项工作，全面落实企业安全生产的主体责任。</w:t>
      </w:r>
    </w:p>
    <w:p>
      <w:pPr>
        <w:pStyle w:val="4"/>
        <w:widowControl/>
        <w:shd w:val="clear" w:color="auto" w:fill="FFFFFF"/>
        <w:spacing w:beforeAutospacing="0" w:afterAutospacing="0"/>
        <w:ind w:firstLine="672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pacing w:val="8"/>
          <w:sz w:val="32"/>
          <w:szCs w:val="32"/>
          <w:shd w:val="clear" w:color="auto" w:fill="FFFFFF"/>
        </w:rPr>
        <w:t>2</w:t>
      </w:r>
      <w:r>
        <w:rPr>
          <w:rFonts w:hint="eastAsia" w:ascii="仿宋_GB2312" w:eastAsia="仿宋_GB2312" w:cs="宋体"/>
          <w:color w:val="333333"/>
          <w:spacing w:val="8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宋体"/>
          <w:color w:val="333333"/>
          <w:spacing w:val="8"/>
          <w:sz w:val="32"/>
          <w:szCs w:val="32"/>
          <w:shd w:val="clear" w:color="auto" w:fill="FFFFFF"/>
        </w:rPr>
        <w:t>企业认真贯彻执行</w:t>
      </w:r>
      <w:r>
        <w:rPr>
          <w:rFonts w:hint="eastAsia" w:ascii="仿宋_GB2312" w:eastAsia="仿宋_GB2312"/>
          <w:sz w:val="32"/>
          <w:szCs w:val="32"/>
        </w:rPr>
        <w:t>县新型冠状病毒感染的肺炎疫情防控指挥部的要求</w:t>
      </w:r>
      <w:r>
        <w:rPr>
          <w:rFonts w:hint="eastAsia" w:ascii="仿宋_GB2312" w:hAnsi="宋体" w:eastAsia="仿宋_GB2312" w:cs="宋体"/>
          <w:color w:val="333333"/>
          <w:spacing w:val="8"/>
          <w:sz w:val="32"/>
          <w:szCs w:val="32"/>
          <w:shd w:val="clear" w:color="auto" w:fill="FFFFFF"/>
        </w:rPr>
        <w:t>，严格落实疫情防控和安全生产防范措施。</w:t>
      </w:r>
    </w:p>
    <w:p>
      <w:pPr>
        <w:pStyle w:val="4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3、企业达不到安全生产和火灾防控要求的，不允许开复工。</w:t>
      </w:r>
    </w:p>
    <w:p>
      <w:pPr>
        <w:pStyle w:val="4"/>
        <w:widowControl/>
        <w:shd w:val="clear" w:color="auto" w:fill="FFFFFF"/>
        <w:spacing w:beforeAutospacing="0" w:afterAutospacing="0"/>
        <w:ind w:firstLine="675" w:firstLineChars="200"/>
        <w:jc w:val="both"/>
        <w:rPr>
          <w:rFonts w:hint="eastAsia" w:ascii="仿宋_GB2312" w:eastAsia="仿宋_GB2312" w:cs="宋体"/>
          <w:b/>
          <w:color w:val="333333"/>
          <w:spacing w:val="8"/>
          <w:sz w:val="32"/>
          <w:szCs w:val="32"/>
        </w:rPr>
      </w:pPr>
      <w:r>
        <w:rPr>
          <w:rFonts w:hint="eastAsia" w:ascii="仿宋_GB2312" w:eastAsia="仿宋_GB2312" w:cs="宋体"/>
          <w:b/>
          <w:color w:val="333333"/>
          <w:spacing w:val="8"/>
          <w:sz w:val="32"/>
          <w:szCs w:val="32"/>
        </w:rPr>
        <w:t>六、县粮食局成立领导小组</w:t>
      </w:r>
    </w:p>
    <w:p>
      <w:pPr>
        <w:pStyle w:val="4"/>
        <w:widowControl/>
        <w:shd w:val="clear" w:color="auto" w:fill="FFFFFF"/>
        <w:spacing w:beforeAutospacing="0" w:afterAutospacing="0"/>
        <w:ind w:firstLine="672" w:firstLineChars="200"/>
        <w:jc w:val="both"/>
        <w:rPr>
          <w:rFonts w:hint="eastAsia" w:ascii="仿宋_GB2312" w:eastAsia="仿宋_GB2312" w:cs="宋体"/>
          <w:color w:val="333333"/>
          <w:spacing w:val="8"/>
          <w:sz w:val="32"/>
          <w:szCs w:val="32"/>
        </w:rPr>
      </w:pPr>
      <w:r>
        <w:rPr>
          <w:rFonts w:hint="eastAsia" w:ascii="仿宋_GB2312" w:eastAsia="仿宋_GB2312" w:cs="宋体"/>
          <w:color w:val="333333"/>
          <w:spacing w:val="8"/>
          <w:sz w:val="32"/>
          <w:szCs w:val="32"/>
        </w:rPr>
        <w:t>组  长：姜炳祥 粮食局副局长</w:t>
      </w:r>
    </w:p>
    <w:p>
      <w:pPr>
        <w:pStyle w:val="4"/>
        <w:widowControl/>
        <w:shd w:val="clear" w:color="auto" w:fill="FFFFFF"/>
        <w:spacing w:beforeAutospacing="0" w:afterAutospacing="0"/>
        <w:ind w:firstLine="672" w:firstLineChars="200"/>
        <w:jc w:val="both"/>
        <w:rPr>
          <w:rFonts w:hint="eastAsia" w:ascii="仿宋_GB2312" w:eastAsia="仿宋_GB2312" w:cs="宋体"/>
          <w:color w:val="333333"/>
          <w:spacing w:val="8"/>
          <w:sz w:val="32"/>
          <w:szCs w:val="32"/>
        </w:rPr>
      </w:pPr>
      <w:r>
        <w:rPr>
          <w:rFonts w:hint="eastAsia" w:ascii="仿宋_GB2312" w:eastAsia="仿宋_GB2312" w:cs="宋体"/>
          <w:color w:val="333333"/>
          <w:spacing w:val="8"/>
          <w:sz w:val="32"/>
          <w:szCs w:val="32"/>
        </w:rPr>
        <w:t>副组长：赵  宽 粮食局副局长</w:t>
      </w:r>
    </w:p>
    <w:p>
      <w:pPr>
        <w:pStyle w:val="4"/>
        <w:widowControl/>
        <w:shd w:val="clear" w:color="auto" w:fill="FFFFFF"/>
        <w:spacing w:beforeAutospacing="0" w:afterAutospacing="0"/>
        <w:ind w:firstLine="672" w:firstLineChars="200"/>
        <w:jc w:val="both"/>
        <w:rPr>
          <w:rFonts w:hint="eastAsia" w:ascii="仿宋_GB2312" w:eastAsia="仿宋_GB2312" w:cs="宋体"/>
          <w:color w:val="333333"/>
          <w:spacing w:val="8"/>
          <w:sz w:val="32"/>
          <w:szCs w:val="32"/>
        </w:rPr>
      </w:pPr>
      <w:r>
        <w:rPr>
          <w:rFonts w:hint="eastAsia" w:ascii="仿宋_GB2312" w:eastAsia="仿宋_GB2312" w:cs="宋体"/>
          <w:color w:val="333333"/>
          <w:spacing w:val="8"/>
          <w:sz w:val="32"/>
          <w:szCs w:val="32"/>
        </w:rPr>
        <w:t xml:space="preserve">成  员：孙锦绣 </w:t>
      </w:r>
      <w:r>
        <w:rPr>
          <w:rFonts w:hint="eastAsia" w:ascii="仿宋_GB2312" w:eastAsia="仿宋_GB2312" w:cs="宋体"/>
          <w:color w:val="333333"/>
          <w:spacing w:val="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宋体"/>
          <w:color w:val="333333"/>
          <w:spacing w:val="8"/>
          <w:sz w:val="32"/>
          <w:szCs w:val="32"/>
        </w:rPr>
        <w:t xml:space="preserve">刘龙 </w:t>
      </w:r>
      <w:r>
        <w:rPr>
          <w:rFonts w:hint="eastAsia" w:ascii="仿宋_GB2312" w:eastAsia="仿宋_GB2312" w:cs="宋体"/>
          <w:color w:val="333333"/>
          <w:spacing w:val="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宋体"/>
          <w:color w:val="333333"/>
          <w:spacing w:val="8"/>
          <w:sz w:val="32"/>
          <w:szCs w:val="32"/>
        </w:rPr>
        <w:t xml:space="preserve">李佳楠 </w:t>
      </w:r>
      <w:r>
        <w:rPr>
          <w:rFonts w:hint="eastAsia" w:ascii="仿宋_GB2312" w:eastAsia="仿宋_GB2312" w:cs="宋体"/>
          <w:color w:val="333333"/>
          <w:spacing w:val="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宋体"/>
          <w:color w:val="333333"/>
          <w:spacing w:val="8"/>
          <w:sz w:val="32"/>
          <w:szCs w:val="32"/>
        </w:rPr>
        <w:t xml:space="preserve">李梓 </w:t>
      </w:r>
      <w:r>
        <w:rPr>
          <w:rFonts w:hint="eastAsia" w:ascii="仿宋_GB2312" w:eastAsia="仿宋_GB2312" w:cs="宋体"/>
          <w:color w:val="333333"/>
          <w:spacing w:val="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宋体"/>
          <w:color w:val="333333"/>
          <w:spacing w:val="8"/>
          <w:sz w:val="32"/>
          <w:szCs w:val="32"/>
        </w:rPr>
        <w:t>张猛 王晓红  王丽华</w:t>
      </w:r>
    </w:p>
    <w:p>
      <w:pPr>
        <w:bidi w:val="0"/>
        <w:ind w:firstLine="659" w:firstLineChars="206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领导小组负责指导和监督粮食企业开复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工作。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4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0655B4E"/>
    <w:rsid w:val="00077B15"/>
    <w:rsid w:val="000E14DB"/>
    <w:rsid w:val="00207D19"/>
    <w:rsid w:val="00396C1A"/>
    <w:rsid w:val="0066481F"/>
    <w:rsid w:val="007A193C"/>
    <w:rsid w:val="008168E7"/>
    <w:rsid w:val="00882238"/>
    <w:rsid w:val="0093314F"/>
    <w:rsid w:val="0093798E"/>
    <w:rsid w:val="00C65C50"/>
    <w:rsid w:val="00EF3022"/>
    <w:rsid w:val="022642BB"/>
    <w:rsid w:val="02EE0226"/>
    <w:rsid w:val="07114E80"/>
    <w:rsid w:val="08035707"/>
    <w:rsid w:val="0E54108E"/>
    <w:rsid w:val="0E5A1B84"/>
    <w:rsid w:val="10681FE7"/>
    <w:rsid w:val="146B3112"/>
    <w:rsid w:val="149E321B"/>
    <w:rsid w:val="16351ADE"/>
    <w:rsid w:val="177971DF"/>
    <w:rsid w:val="1AB14F63"/>
    <w:rsid w:val="22FF74F2"/>
    <w:rsid w:val="23C23B7E"/>
    <w:rsid w:val="2E565210"/>
    <w:rsid w:val="2FFB5C55"/>
    <w:rsid w:val="30675F41"/>
    <w:rsid w:val="348D5CD0"/>
    <w:rsid w:val="393673E6"/>
    <w:rsid w:val="3A5369D9"/>
    <w:rsid w:val="3E750584"/>
    <w:rsid w:val="41C52A52"/>
    <w:rsid w:val="45B66EA4"/>
    <w:rsid w:val="4D3A31D2"/>
    <w:rsid w:val="55E1664F"/>
    <w:rsid w:val="56F2346F"/>
    <w:rsid w:val="5B3A006B"/>
    <w:rsid w:val="5C7912EF"/>
    <w:rsid w:val="60655B4E"/>
    <w:rsid w:val="667E41CD"/>
    <w:rsid w:val="74154B63"/>
    <w:rsid w:val="74265D7C"/>
    <w:rsid w:val="7B5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10</TotalTime>
  <ScaleCrop>false</ScaleCrop>
  <LinksUpToDate>false</LinksUpToDate>
  <CharactersWithSpaces>232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2019-01-08T02:07:00Z</dcterms:created>
  <dc:creator>赵  丽</dc:creator>
  <cp:lastModifiedBy>凝视你的美丽</cp:lastModifiedBy>
  <cp:lastPrinted>2020-02-20T06:18:14Z</cp:lastPrinted>
  <dcterms:modified xsi:type="dcterms:W3CDTF">2020-02-20T06:18:38Z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